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-1089660</wp:posOffset>
                </wp:positionH>
                <wp:positionV relativeFrom="page">
                  <wp:posOffset>0</wp:posOffset>
                </wp:positionV>
                <wp:extent cx="7581265" cy="10709910"/>
                <wp:effectExtent l="0" t="0" r="635" b="0"/>
                <wp:wrapNone/>
                <wp:docPr id="3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7581265" cy="1070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55680;o:allowoverlap:true;o:allowincell:true;mso-position-horizontal-relative:text;margin-left:-85.8pt;mso-position-horizontal:absolute;mso-position-vertical-relative:page;margin-top:0.0pt;mso-position-vertical:absolute;width:596.9pt;height:843.3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</w:r>
      <w:r/>
    </w:p>
    <w:p>
      <w:pPr>
        <w:ind w:right="-1"/>
        <w:jc w:val="right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</w:r>
      <w:r/>
    </w:p>
    <w:p>
      <w:pPr>
        <w:ind w:right="-1"/>
        <w:jc w:val="right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Дайджест новостей банкротства за </w:t>
      </w:r>
      <w:r>
        <w:rPr>
          <w:rFonts w:ascii="Times New Roman" w:hAnsi="Times New Roman" w:cs="Times New Roman"/>
          <w:b/>
          <w:sz w:val="72"/>
          <w:szCs w:val="72"/>
        </w:rPr>
        <w:t xml:space="preserve">июнь</w:t>
      </w:r>
      <w:r>
        <w:rPr>
          <w:rFonts w:ascii="Times New Roman" w:hAnsi="Times New Roman" w:cs="Times New Roman"/>
          <w:b/>
          <w:sz w:val="72"/>
          <w:szCs w:val="72"/>
        </w:rPr>
        <w:t xml:space="preserve"> 2023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/>
    </w:p>
    <w:p>
      <w:pPr>
        <w:ind w:firstLine="425"/>
        <w:jc w:val="center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sdt>
      <w:sdtPr>
        <w15:appearance w15:val="boundingBox"/>
        <w:id w:val="-441459906"/>
        <w:docPartObj>
          <w:docPartGallery w:val="Table of Content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pStyle w:val="914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Оглавление</w:t>
          </w:r>
          <w:r/>
        </w:p>
        <w:p>
          <w:pPr>
            <w:pStyle w:val="905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i w:val="0"/>
              <w:iCs w:val="0"/>
              <w:lang w:eastAsia="ru-RU"/>
            </w:rPr>
          </w:pPr>
          <w:r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 xml:space="preserve">TOC \o "1-3" \h \z \u</w:instrText>
          </w:r>
          <w:r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tooltip="#_Toc139459160" w:anchor="_Toc139459160" w:history="1">
            <w:r>
              <w:rPr>
                <w:rStyle w:val="898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1) Внесены поправки в закон Федеральный Закон «Об исполнительном производстве».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instrText xml:space="preserve"> PAGEREF _Toc139459160 \h </w:instrTex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end"/>
            </w:r>
          </w:hyperlink>
          <w:r/>
          <w:r/>
        </w:p>
        <w:p>
          <w:pPr>
            <w:pStyle w:val="905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i w:val="0"/>
              <w:iCs w:val="0"/>
              <w:lang w:eastAsia="ru-RU"/>
            </w:rPr>
          </w:pPr>
          <w:r/>
          <w:hyperlink w:tooltip="#_Toc139459161" w:anchor="_Toc139459161" w:history="1">
            <w:r>
              <w:rPr>
                <w:rStyle w:val="898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2) Опубликовано Постановление Пленума Верховного суда РФ «Об особенностях применения судами в делах о несостоятельности (банкротстве) норм о поручительстве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instrText xml:space="preserve"> PAGEREF _Toc139459161 \h </w:instrTex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end"/>
            </w:r>
          </w:hyperlink>
          <w:r/>
          <w:r/>
        </w:p>
        <w:p>
          <w:pPr>
            <w:pStyle w:val="905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i w:val="0"/>
              <w:iCs w:val="0"/>
              <w:lang w:eastAsia="ru-RU"/>
            </w:rPr>
          </w:pPr>
          <w:r/>
          <w:hyperlink w:tooltip="#_Toc139459162" w:anchor="_Toc139459162" w:history="1">
            <w:r>
              <w:rPr>
                <w:rStyle w:val="898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3) Залог: О чем говорится в новом Постановлении Пленума Верховного суда РФ «О применении судами правил о залоге вещей»?»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instrText xml:space="preserve"> PAGEREF _Toc139459162 \h </w:instrTex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end"/>
            </w:r>
          </w:hyperlink>
          <w:r/>
          <w:r/>
        </w:p>
        <w:p>
          <w:pPr>
            <w:pStyle w:val="905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i w:val="0"/>
              <w:iCs w:val="0"/>
              <w:lang w:eastAsia="ru-RU"/>
            </w:rPr>
          </w:pPr>
          <w:r/>
          <w:hyperlink w:tooltip="#_Toc139459163" w:anchor="_Toc139459163" w:history="1">
            <w:r>
              <w:rPr>
                <w:rStyle w:val="898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4) Новые поправки в закон о пенсионном страховании: кто больше не будет платить взносы?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instrText xml:space="preserve"> PAGEREF _Toc139459163 \h </w:instrTex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end"/>
            </w:r>
          </w:hyperlink>
          <w:r/>
          <w:r/>
        </w:p>
        <w:p>
          <w:pPr>
            <w:pStyle w:val="905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i w:val="0"/>
              <w:iCs w:val="0"/>
              <w:lang w:eastAsia="ru-RU"/>
            </w:rPr>
          </w:pPr>
          <w:r/>
          <w:hyperlink w:tooltip="#_Toc139459164" w:anchor="_Toc139459164" w:history="1">
            <w:r>
              <w:rPr>
                <w:rStyle w:val="898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5) Очередность уплаты налога на прибыль при реализации имущества: Какие статьи признаны несоответствующими конституционным судом РФ?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instrText xml:space="preserve"> PAGEREF _Toc139459164 \h </w:instrTex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end"/>
            </w:r>
          </w:hyperlink>
          <w:r/>
          <w:r/>
        </w:p>
        <w:p>
          <w:pPr>
            <w:pStyle w:val="905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i w:val="0"/>
              <w:iCs w:val="0"/>
              <w:lang w:eastAsia="ru-RU"/>
            </w:rPr>
          </w:pPr>
          <w:r/>
          <w:hyperlink w:tooltip="#_Toc139459165" w:anchor="_Toc139459165" w:history="1">
            <w:r>
              <w:rPr>
                <w:rStyle w:val="898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6) Судебная практика. Страховая компания может участвовать в арбитражном процессе по жалобам на арбитражного управляющего, даже если требование о возмещении убытков не предъявлено (Дело № А40-172801)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instrText xml:space="preserve"> PAGEREF _Toc139459165 \h </w:instrTex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end"/>
            </w:r>
          </w:hyperlink>
          <w:r/>
          <w:r/>
        </w:p>
        <w:p>
          <w:pPr>
            <w:pStyle w:val="905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i w:val="0"/>
              <w:iCs w:val="0"/>
              <w:lang w:eastAsia="ru-RU"/>
            </w:rPr>
          </w:pPr>
          <w:r/>
          <w:hyperlink w:tooltip="#_Toc139459166" w:anchor="_Toc139459166" w:history="1">
            <w:r>
              <w:rPr>
                <w:rStyle w:val="898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7) Судебная практика. Мораторий, установленный Постановлением № 497, применяется в отношении всех участников гражданско-правовых отношений (дело А73-4912/2021).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instrText xml:space="preserve"> PAGEREF _Toc139459166 \h </w:instrTex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fldChar w:fldCharType="end"/>
            </w:r>
          </w:hyperlink>
          <w:r/>
          <w:r/>
        </w:p>
        <w:p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/>
        </w:p>
      </w:sdtContent>
    </w:sdt>
    <w:p>
      <w:pPr>
        <w:pStyle w:val="704"/>
        <w:jc w:val="both"/>
        <w:rPr>
          <w:rFonts w:ascii="Times New Roman" w:hAnsi="Times New Roman" w:cs="Times New Roman"/>
          <w:b/>
          <w:bCs/>
          <w:sz w:val="24"/>
          <w:szCs w:val="24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0" w:name="_Toc139459160"/>
      <w:r>
        <w:rPr>
          <w:rFonts w:ascii="Times New Roman" w:hAnsi="Times New Roman" w:cs="Times New Roman"/>
          <w:b/>
          <w:bCs/>
          <w:sz w:val="24"/>
          <w:szCs w:val="24"/>
        </w:rPr>
        <w:t xml:space="preserve">1) Внесены поправки в закон Федеральный Закон «Об исполнительном производстве».</w:t>
      </w:r>
      <w:bookmarkEnd w:id="0"/>
      <w:r/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РФ Владимир Путин утвердил законопроект, который сокращает до трех дней срок, в течение которого приставы должны завершать исполнительное производство по взысканию долгов, при наличии явных оснований для его прекращения или окончания.</w:t>
      </w:r>
      <w:r/>
    </w:p>
    <w:p>
      <w:pPr>
        <w:ind w:firstLine="709"/>
        <w:jc w:val="both"/>
        <w:rPr>
          <w:rStyle w:val="929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если должник объявлен банкротом, исполнительное производство в отношении него должно быть окончено или прекращено в течении 3 дней </w:t>
      </w:r>
      <w:r/>
    </w:p>
    <w:p>
      <w:pPr>
        <w:pStyle w:val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1" w:name="_Toc139459161"/>
      <w:r>
        <w:rPr>
          <w:rFonts w:ascii="Times New Roman" w:hAnsi="Times New Roman" w:cs="Times New Roman"/>
          <w:b/>
          <w:bCs/>
          <w:sz w:val="24"/>
          <w:szCs w:val="24"/>
        </w:rPr>
        <w:t xml:space="preserve">2) Опубликовано Постановление Пленума Верховного суда РФ «Об особенностях применения судами в делах о несостоятельности (банкротстве) норм о поручительстве</w:t>
      </w:r>
      <w:bookmarkEnd w:id="1"/>
      <w:r/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документ содержит 21 пункт. После принятия проекта не подлежат применению пункты 46 - 57 постановления Пленума ВАС РФ от 12 июля 2012 года № 42 «О некоторых вопросах разрешения споров, связанных с поручительством».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выдержки из нового Постановления Пленума Верховного Суда РФ:</w:t>
      </w:r>
      <w:r/>
    </w:p>
    <w:p>
      <w:pPr>
        <w:pStyle w:val="758"/>
        <w:numPr>
          <w:ilvl w:val="0"/>
          <w:numId w:val="11"/>
        </w:numPr>
        <w:ind w:left="709" w:hanging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 может инициировать банкротство как должника, так и поручителя. Если поручительство гарантирует погашение долга по кредиту, судебный акт, подтверждающий размер долга не требуется для начала банкротного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758"/>
        <w:numPr>
          <w:ilvl w:val="0"/>
          <w:numId w:val="11"/>
        </w:numPr>
        <w:ind w:left="709" w:hanging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размера основного обязательства без согласия поручителя не влечет увеличения его ответственности. Поручитель отвечает на прежних условиях, часть возросшей суммы обязательства считается не обеспеченной поручительством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758"/>
        <w:numPr>
          <w:ilvl w:val="0"/>
          <w:numId w:val="11"/>
        </w:numPr>
        <w:ind w:left="709" w:hanging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поручитель исполнил обязательство, то в этой части к нему переходят права кредитора, если иное не предусмотрено договором, или не вытекает из отношений между должником и поручителем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758"/>
        <w:numPr>
          <w:ilvl w:val="0"/>
          <w:numId w:val="11"/>
        </w:numPr>
        <w:ind w:left="709" w:hanging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Контролирующее лицо, выдавшее обеспечение в состоянии имущественного кризиса должника, принимает на себя все связанные с этим риски, и в соответствии с этим очередность удовлетворения его требования понижается до распределения ликвидационной квоты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758"/>
        <w:numPr>
          <w:ilvl w:val="0"/>
          <w:numId w:val="11"/>
        </w:numPr>
        <w:ind w:left="709" w:hanging="567"/>
        <w:jc w:val="both"/>
        <w:spacing w:after="0"/>
        <w:rPr>
          <w:rStyle w:val="929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должник находится</w:t>
      </w:r>
      <w:r>
        <w:rPr>
          <w:rFonts w:ascii="Times New Roman" w:hAnsi="Times New Roman" w:cs="Times New Roman"/>
          <w:sz w:val="24"/>
          <w:szCs w:val="24"/>
        </w:rPr>
        <w:t xml:space="preserve"> в процедуре банкротства и поручитель предоставил исполнение, которого не хватает для полного удовлетворения требования кредитора, такой поручитель не вправе конкурировать с кредитором за распределение конкурсной массы должника по основному обязательству. </w:t>
      </w:r>
      <w:r/>
    </w:p>
    <w:p>
      <w:pPr>
        <w:pStyle w:val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2" w:name="_Toc139459162"/>
      <w:r>
        <w:rPr>
          <w:rFonts w:ascii="Times New Roman" w:hAnsi="Times New Roman" w:cs="Times New Roman"/>
          <w:b/>
          <w:bCs/>
          <w:sz w:val="24"/>
          <w:szCs w:val="24"/>
        </w:rPr>
        <w:t xml:space="preserve">3) Залог: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чем говорится в новом Постановлении Пленума Верховного суда РФ «О применении судами правил о залоге вещей»?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</w:t>
      </w:r>
      <w:bookmarkEnd w:id="2"/>
      <w:r/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Пленума содержит более 90 пунктов по вопросам залога. В заключительном 93 пункте постановление Пленума Высшего Арбитражного Суда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17 февраля 2011 года № 10 «О некоторых вопросах применения законодательства о залоге» признается не подлежащим применению.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Постановлении Пленумом Верховного суда РФ устанавливаются разъяснения по следующим вопросам: </w:t>
      </w:r>
      <w:r/>
    </w:p>
    <w:p>
      <w:pPr>
        <w:pStyle w:val="758"/>
        <w:numPr>
          <w:ilvl w:val="0"/>
          <w:numId w:val="12"/>
        </w:numPr>
        <w:ind w:hanging="57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определять способы, позволяющие идентифицировать предмета залога?</w:t>
      </w:r>
      <w:r/>
    </w:p>
    <w:p>
      <w:pPr>
        <w:pStyle w:val="758"/>
        <w:numPr>
          <w:ilvl w:val="0"/>
          <w:numId w:val="12"/>
        </w:numPr>
        <w:ind w:hanging="57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существуют особенности обеспечения обязательств залогом?</w:t>
      </w:r>
      <w:r/>
    </w:p>
    <w:p>
      <w:pPr>
        <w:pStyle w:val="758"/>
        <w:numPr>
          <w:ilvl w:val="0"/>
          <w:numId w:val="12"/>
        </w:numPr>
        <w:ind w:hanging="57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Пользование и распоряжение предметом залога</w:t>
      </w:r>
      <w:r/>
    </w:p>
    <w:p>
      <w:pPr>
        <w:pStyle w:val="758"/>
        <w:numPr>
          <w:ilvl w:val="0"/>
          <w:numId w:val="12"/>
        </w:numPr>
        <w:ind w:hanging="57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Старшинство залогов</w:t>
      </w:r>
      <w:r/>
    </w:p>
    <w:p>
      <w:pPr>
        <w:pStyle w:val="758"/>
        <w:numPr>
          <w:ilvl w:val="0"/>
          <w:numId w:val="12"/>
        </w:numPr>
        <w:ind w:hanging="578"/>
        <w:jc w:val="both"/>
        <w:spacing w:after="0"/>
        <w:rPr>
          <w:rStyle w:val="929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Нюансы обращения взыскания на предмет залога, которые необходимо знать.</w:t>
      </w:r>
      <w:r/>
    </w:p>
    <w:p>
      <w:pPr>
        <w:pStyle w:val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3" w:name="_Toc139459163"/>
      <w:r>
        <w:rPr>
          <w:rFonts w:ascii="Times New Roman" w:hAnsi="Times New Roman" w:cs="Times New Roman"/>
          <w:b/>
          <w:bCs/>
          <w:sz w:val="24"/>
          <w:szCs w:val="24"/>
        </w:rPr>
        <w:t xml:space="preserve">4) Новые поправки в закон о пенсионном страховании: кто больше не будет платить взносы?</w:t>
      </w:r>
      <w:bookmarkEnd w:id="3"/>
      <w:r/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поправки в Федеральный закон от 15.12.2001 N 167-ФЗ (ред. от 24.06.2023) "Об обязательном пенсионном страховании в Российской Федерации", в соответствии с которым</w:t>
      </w:r>
      <w:r>
        <w:rPr>
          <w:rFonts w:ascii="Times New Roman" w:hAnsi="Times New Roman" w:cs="Times New Roman"/>
          <w:sz w:val="24"/>
          <w:szCs w:val="24"/>
        </w:rPr>
        <w:t xml:space="preserve">и, получающие военную и приравненную к ней пенсию за выслугу лет или по инвалидности индивидуальные предприниматели, арбитражные управляющие и нотариусы, занимающиеся частной практикой, освобождаются от уплаты взносов на обязательное пенсионное страхование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закон предоставляет арбитражным управляющим право добровольного вступления в правоотношения по обязательному пенсионному страхованию. </w:t>
      </w:r>
      <w:r/>
    </w:p>
    <w:p>
      <w:pPr>
        <w:pStyle w:val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4" w:name="_Toc139459164"/>
      <w:r>
        <w:rPr>
          <w:rFonts w:ascii="Times New Roman" w:hAnsi="Times New Roman" w:cs="Times New Roman"/>
          <w:b/>
          <w:bCs/>
          <w:sz w:val="24"/>
          <w:szCs w:val="24"/>
        </w:rPr>
        <w:t xml:space="preserve">5) Очередность уплаты налога на прибыль при реализации имущества: Какие статьи признаны несоответствующими конституционным судом РФ?</w:t>
      </w:r>
      <w:bookmarkEnd w:id="4"/>
      <w:r/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Конституционный суд Российской Федерации по итогам рассмотрения дела по запросу Верховного Суда Российской Федерации и жалобе ООО «Предприятие строительных работ энергетики» на очередность уплаты налога на прибыль при продаже имущества банк</w:t>
      </w:r>
      <w:r>
        <w:rPr>
          <w:rFonts w:ascii="Times New Roman" w:hAnsi="Times New Roman" w:cs="Times New Roman"/>
          <w:sz w:val="24"/>
          <w:szCs w:val="24"/>
        </w:rPr>
        <w:t xml:space="preserve">рота признал статьи 248, 249, пункт 1 статьи 251 и статью 271 Налогового кодекса Российской Федерации и пункты 1 и 3 статьи 5, пункт 2 статьи 134 Федерального закона «О несостоятельности (банкротстве)» не соответствующими Конституции Российской Федерации.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также установил, что до внесения соответствующих поправок в налоговое законодательство и в Федеральный закон «О н</w:t>
      </w:r>
      <w:r>
        <w:rPr>
          <w:rFonts w:ascii="Times New Roman" w:hAnsi="Times New Roman" w:cs="Times New Roman"/>
          <w:sz w:val="24"/>
          <w:szCs w:val="24"/>
        </w:rPr>
        <w:t xml:space="preserve">есостоятельности (банкротстве)», требования об уплате налога на прибыль организаций при реализации имущества, составляющего конкурсную массу в деле о банкротстве, подлежат удовлетворению в составе третьей очереди требований кредиторов, включенных в реестр.</w:t>
      </w:r>
      <w:r/>
    </w:p>
    <w:p>
      <w:pPr>
        <w:pStyle w:val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5" w:name="_Toc139459165"/>
      <w:r>
        <w:rPr>
          <w:rFonts w:ascii="Times New Roman" w:hAnsi="Times New Roman" w:cs="Times New Roman"/>
          <w:b/>
          <w:bCs/>
          <w:sz w:val="24"/>
          <w:szCs w:val="24"/>
        </w:rPr>
        <w:t xml:space="preserve">6) Судебная практика. Страховая компания может участвовать в арбитражном процессе по жалобам на арбитражного управляющего, даже если требование о возмещении убытков не предъявлено (Дело № А40-172801)</w:t>
      </w:r>
      <w:bookmarkEnd w:id="5"/>
      <w:r/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производства по делу о банкротстве Арбитражный суд города Москвы признал действия арбитражного управляющего незаконными и о отстранил его от исполнения обязанностей. 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Страховая компания «ТИТ» обратилась с жалобой в вышестоящие суды, с просьбой отменить судебный акт, настаивая на том, что </w:t>
      </w:r>
      <w:r>
        <w:rPr>
          <w:rFonts w:ascii="Times New Roman" w:hAnsi="Times New Roman" w:cs="Times New Roman"/>
          <w:sz w:val="24"/>
          <w:szCs w:val="24"/>
        </w:rPr>
        <w:t xml:space="preserve">у нее есть право участвовать в рассмотрении жалобы на действия застрахованного ею управляющего. Однако суды указали, что привлекать страховую компанию к участию в споре было необязательно, поскольку в нем не заявлялось требование о взыскании с АУ убытков.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некоторое время кредиторы добились в суде взыскания с арбитражного управляющего более 10 млн рублей убытков. В этот процесс СК «ТИТ» уже была привлечена как третье лицо.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Страховая компания обратилась в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Конституционный суд с жалобой на неопределенность в вопросе о том, соответствуют ли Конституции Российской Федерации пункт 2 статьи 35 Федерального закона «О несостоятельности (банкротстве)», статья 42 и пункт 4 части 4 статьи 270 АПК Российской Федерации.</w:t>
      </w:r>
      <w:r/>
    </w:p>
    <w:p>
      <w:pPr>
        <w:ind w:firstLine="709"/>
        <w:jc w:val="both"/>
        <w:rPr>
          <w:rStyle w:val="929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Конституционный суд установил следующее: «Юридическая природа и целевое назначение обязанности страховщика по выплате страхового возмещения, вытекающей из договора обязательного ст</w:t>
      </w:r>
      <w:r>
        <w:rPr>
          <w:rFonts w:ascii="Times New Roman" w:hAnsi="Times New Roman" w:cs="Times New Roman"/>
          <w:sz w:val="24"/>
          <w:szCs w:val="24"/>
        </w:rPr>
        <w:t xml:space="preserve">рахования ответственности арбитражного управляющего, обусловливают необходимость предоставления заинтересованной страховой организации процессуальной возможности участвовать в арбитражном процессе по жалобам на неисполнение или ненадлежащее исполнение арби</w:t>
      </w:r>
      <w:r>
        <w:rPr>
          <w:rFonts w:ascii="Times New Roman" w:hAnsi="Times New Roman" w:cs="Times New Roman"/>
          <w:sz w:val="24"/>
          <w:szCs w:val="24"/>
        </w:rPr>
        <w:t xml:space="preserve">тражным управляющим возложенных на него обязанностей, в том числе когда требование о возмещении убытков не предъявлено (но может быть предъявлено позднее)».  Судебные решения, принятые в отношении ООО «СК «ТИТ» будут  пересмотрены в установленном порядке. </w:t>
      </w:r>
      <w:r/>
    </w:p>
    <w:p>
      <w:pPr>
        <w:pStyle w:val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6" w:name="_Toc139459166"/>
      <w:r>
        <w:rPr>
          <w:rFonts w:ascii="Times New Roman" w:hAnsi="Times New Roman" w:cs="Times New Roman"/>
          <w:b/>
          <w:bCs/>
          <w:sz w:val="24"/>
          <w:szCs w:val="24"/>
        </w:rPr>
        <w:t xml:space="preserve">7) Судебная практика. Мораторий, установленный Постановлением № 497, применяется в отношении всех участников гражданско-правовых отношений (дело А73-4912/2021).</w:t>
      </w:r>
      <w:bookmarkEnd w:id="6"/>
      <w:r/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сторонами возник спор о взыскании </w:t>
      </w:r>
      <w:r>
        <w:rPr>
          <w:rFonts w:ascii="Times New Roman" w:hAnsi="Times New Roman" w:cs="Times New Roman"/>
          <w:sz w:val="24"/>
          <w:szCs w:val="24"/>
        </w:rPr>
        <w:t xml:space="preserve">дебиторской задолженности по договору подряда. Истец в судебном порядке взыскал с ответчика оплаченный аванс за строительно-монтажные работы и проценты за пользование чужими денежными средствами за период с 27.02.2021 года по день фактической оплаты долга.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</w:t>
      </w:r>
      <w:r>
        <w:rPr>
          <w:rFonts w:ascii="Times New Roman" w:hAnsi="Times New Roman" w:cs="Times New Roman"/>
          <w:sz w:val="24"/>
          <w:szCs w:val="24"/>
        </w:rPr>
        <w:t xml:space="preserve"> обратился в Верховный суд  РФ с жалобой,  в связи с тем, что, взыскивая проценты за пользование чужими денежными средствами, суды не учли пункт 1 статьи 9.1 Закона о несостоятельности (банкротстве), а также положения Постановления Правительства РФ № 497.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Верховный суд не поддержал выводы нижестоящих судов. «Для целей применения моратория не требуется установления в отношении должников признаков неплатежеспособности и (или) недостаточности имущества.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28.03.2022 № 497 «О введении моратория на возбуждение дел о банкротстве по заявлениям, подаваемым кр</w:t>
      </w:r>
      <w:r>
        <w:rPr>
          <w:rFonts w:ascii="Times New Roman" w:hAnsi="Times New Roman" w:cs="Times New Roman"/>
          <w:sz w:val="24"/>
          <w:szCs w:val="24"/>
        </w:rPr>
        <w:t xml:space="preserve">едиторами» со дня его официального опубликования сроком на 6 месяцев введен мораторий на возбуждение дел о банкротстве по заявлениям, подаваемыми кредиторами, в отношении юридических лиц и граждан, в том числе индивидуальных предпринимателей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лиц, указанных в пункте 2 данного постановления. Таким образом, мораторий, установленный Постановлением № 497, применяется в отношении всех участников гражданско-правовых отношений, за исключением лиц, прямо указанных в пункте 2 названного постановления.»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«Отклоняя доводы кассационной жалобы ООО «Армада», суд округа неверно истолковал положения Постановления № 497, ошибочно указав на возможность применен</w:t>
      </w:r>
      <w:r>
        <w:rPr>
          <w:rFonts w:ascii="Times New Roman" w:hAnsi="Times New Roman" w:cs="Times New Roman"/>
          <w:sz w:val="24"/>
          <w:szCs w:val="24"/>
        </w:rPr>
        <w:t xml:space="preserve">ия моратория только в отношении юридических лиц, основной вид деятельности которых включен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 уважением,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Анастасия Смирнова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+7 812 325 48 62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Заместитель Руководителя Отдела Права                           +7 981 191 68 30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Объединенной Консалтинговой Группы                            SmirnovaA@okgru.com</w:t>
      </w:r>
      <w:r/>
    </w:p>
    <w:sectPr>
      <w:footnotePr/>
      <w:endnotePr/>
      <w:type w:val="nextPage"/>
      <w:pgSz w:w="11906" w:h="16838" w:orient="portrait"/>
      <w:pgMar w:top="1134" w:right="1134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Microsoft Sans Serif">
    <w:panose1 w:val="020B0604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tabs>
        <w:tab w:val="center" w:pos="4535" w:leader="none"/>
        <w:tab w:val="clear" w:pos="4677" w:leader="none"/>
        <w:tab w:val="clear" w:pos="9355" w:leader="none"/>
      </w:tabs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776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ge">
                <wp:posOffset>9953625</wp:posOffset>
              </wp:positionV>
              <wp:extent cx="7580104" cy="904875"/>
              <wp:effectExtent l="0" t="0" r="1905" b="0"/>
              <wp:wrapNone/>
              <wp:docPr id="2" name="Рисунок 1167886915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4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80104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-85.0pt;mso-position-horizontal:absolute;mso-position-vertical-relative:page;margin-top:783.8pt;mso-position-vertical:absolute;width:596.9pt;height:71.2pt;" stroked="false">
              <v:path textboxrect="0,0,0,0"/>
              <v:imagedata r:id="rId1" o:title=""/>
            </v:shape>
          </w:pict>
        </mc:Fallback>
      </mc:AlternateContent>
    </w:r>
    <w:r>
      <w:tab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tabs>
        <w:tab w:val="clear" w:pos="4677" w:leader="none"/>
        <w:tab w:val="left" w:pos="6389" w:leader="none"/>
        <w:tab w:val="clear" w:pos="9355" w:leader="none"/>
      </w:tabs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1" allowOverlap="1">
              <wp:simplePos x="0" y="0"/>
              <wp:positionH relativeFrom="column">
                <wp:posOffset>-1079500</wp:posOffset>
              </wp:positionH>
              <wp:positionV relativeFrom="page">
                <wp:posOffset>0</wp:posOffset>
              </wp:positionV>
              <wp:extent cx="7579360" cy="720090"/>
              <wp:effectExtent l="0" t="0" r="2540" b="3810"/>
              <wp:wrapNone/>
              <wp:docPr id="1" name="Рисунок 79981778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9360" cy="7200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752;o:allowoverlap:true;o:allowincell:true;mso-position-horizontal-relative:text;margin-left:-85.0pt;mso-position-horizontal:absolute;mso-position-vertical-relative:page;margin-top:0.0pt;mso-position-vertical:absolute;width:596.8pt;height:56.7pt;" stroked="false">
              <v:path textboxrect="0,0,0,0"/>
              <v:imagedata r:id="rId1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 w:default="1">
    <w:name w:val="Normal"/>
    <w:qFormat/>
  </w:style>
  <w:style w:type="paragraph" w:styleId="703">
    <w:name w:val="Heading 1"/>
    <w:basedOn w:val="702"/>
    <w:next w:val="702"/>
    <w:link w:val="74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04">
    <w:name w:val="Heading 2"/>
    <w:basedOn w:val="702"/>
    <w:next w:val="702"/>
    <w:link w:val="750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05">
    <w:name w:val="Heading 3"/>
    <w:basedOn w:val="702"/>
    <w:next w:val="702"/>
    <w:link w:val="751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06">
    <w:name w:val="Heading 4"/>
    <w:basedOn w:val="702"/>
    <w:next w:val="702"/>
    <w:link w:val="752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7">
    <w:name w:val="Heading 5"/>
    <w:basedOn w:val="702"/>
    <w:next w:val="702"/>
    <w:link w:val="75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702"/>
    <w:next w:val="702"/>
    <w:link w:val="754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09">
    <w:name w:val="Heading 7"/>
    <w:basedOn w:val="702"/>
    <w:next w:val="702"/>
    <w:link w:val="75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10">
    <w:name w:val="Heading 8"/>
    <w:basedOn w:val="702"/>
    <w:next w:val="702"/>
    <w:link w:val="756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11">
    <w:name w:val="Heading 9"/>
    <w:basedOn w:val="702"/>
    <w:next w:val="702"/>
    <w:link w:val="75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table" w:styleId="715">
    <w:name w:val="Plain Table 1"/>
    <w:basedOn w:val="71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1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71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5 Dark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>
    <w:name w:val="Grid Table 6 Colorful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>
    <w:name w:val="List Table 1 Light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33">
    <w:name w:val="List Table 7 Colorful"/>
    <w:basedOn w:val="7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734" w:customStyle="1">
    <w:name w:val="Heading 1 Char"/>
    <w:basedOn w:val="71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Heading 2 Char"/>
    <w:basedOn w:val="712"/>
    <w:uiPriority w:val="9"/>
    <w:rPr>
      <w:rFonts w:ascii="Arial" w:hAnsi="Arial" w:cs="Arial" w:eastAsia="Arial"/>
      <w:sz w:val="34"/>
    </w:rPr>
  </w:style>
  <w:style w:type="character" w:styleId="736" w:customStyle="1">
    <w:name w:val="Heading 3 Char"/>
    <w:basedOn w:val="712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Heading 4 Char"/>
    <w:basedOn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Heading 5 Char"/>
    <w:basedOn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Heading 6 Char"/>
    <w:basedOn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Heading 7 Char"/>
    <w:basedOn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Heading 8 Char"/>
    <w:basedOn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Heading 9 Char"/>
    <w:basedOn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43" w:customStyle="1">
    <w:name w:val="Title Char"/>
    <w:basedOn w:val="712"/>
    <w:uiPriority w:val="10"/>
    <w:rPr>
      <w:sz w:val="48"/>
      <w:szCs w:val="48"/>
    </w:rPr>
  </w:style>
  <w:style w:type="character" w:styleId="744" w:customStyle="1">
    <w:name w:val="Subtitle Char"/>
    <w:basedOn w:val="712"/>
    <w:uiPriority w:val="11"/>
    <w:rPr>
      <w:sz w:val="24"/>
      <w:szCs w:val="24"/>
    </w:rPr>
  </w:style>
  <w:style w:type="character" w:styleId="745" w:customStyle="1">
    <w:name w:val="Quote Char"/>
    <w:uiPriority w:val="29"/>
    <w:rPr>
      <w:i/>
    </w:rPr>
  </w:style>
  <w:style w:type="character" w:styleId="746" w:customStyle="1">
    <w:name w:val="Intense Quote Char"/>
    <w:uiPriority w:val="30"/>
    <w:rPr>
      <w:i/>
    </w:rPr>
  </w:style>
  <w:style w:type="character" w:styleId="747" w:customStyle="1">
    <w:name w:val="Footnote Text Char"/>
    <w:uiPriority w:val="99"/>
    <w:rPr>
      <w:sz w:val="18"/>
    </w:rPr>
  </w:style>
  <w:style w:type="character" w:styleId="748" w:customStyle="1">
    <w:name w:val="Endnote Text Char"/>
    <w:uiPriority w:val="99"/>
    <w:rPr>
      <w:sz w:val="20"/>
    </w:rPr>
  </w:style>
  <w:style w:type="character" w:styleId="749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751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basedOn w:val="702"/>
    <w:uiPriority w:val="34"/>
    <w:qFormat/>
    <w:pPr>
      <w:contextualSpacing/>
      <w:ind w:left="720"/>
    </w:pPr>
  </w:style>
  <w:style w:type="paragraph" w:styleId="759">
    <w:name w:val="No Spacing"/>
    <w:uiPriority w:val="1"/>
    <w:qFormat/>
    <w:pPr>
      <w:spacing w:after="0" w:line="240" w:lineRule="auto"/>
    </w:pPr>
  </w:style>
  <w:style w:type="paragraph" w:styleId="760">
    <w:name w:val="Title"/>
    <w:basedOn w:val="702"/>
    <w:next w:val="702"/>
    <w:link w:val="761"/>
    <w:uiPriority w:val="10"/>
    <w:qFormat/>
    <w:pPr>
      <w:contextualSpacing/>
      <w:spacing w:before="300"/>
    </w:pPr>
    <w:rPr>
      <w:sz w:val="48"/>
      <w:szCs w:val="48"/>
    </w:rPr>
  </w:style>
  <w:style w:type="character" w:styleId="761" w:customStyle="1">
    <w:name w:val="Заголовок Знак"/>
    <w:basedOn w:val="712"/>
    <w:link w:val="760"/>
    <w:uiPriority w:val="10"/>
    <w:rPr>
      <w:sz w:val="48"/>
      <w:szCs w:val="48"/>
    </w:rPr>
  </w:style>
  <w:style w:type="paragraph" w:styleId="762">
    <w:name w:val="Subtitle"/>
    <w:basedOn w:val="702"/>
    <w:next w:val="702"/>
    <w:link w:val="763"/>
    <w:uiPriority w:val="11"/>
    <w:qFormat/>
    <w:pPr>
      <w:spacing w:before="200"/>
    </w:pPr>
    <w:rPr>
      <w:sz w:val="24"/>
      <w:szCs w:val="24"/>
    </w:rPr>
  </w:style>
  <w:style w:type="character" w:styleId="763" w:customStyle="1">
    <w:name w:val="Подзаголовок Знак"/>
    <w:basedOn w:val="712"/>
    <w:link w:val="762"/>
    <w:uiPriority w:val="11"/>
    <w:rPr>
      <w:sz w:val="24"/>
      <w:szCs w:val="24"/>
    </w:rPr>
  </w:style>
  <w:style w:type="paragraph" w:styleId="764">
    <w:name w:val="Quote"/>
    <w:basedOn w:val="702"/>
    <w:next w:val="702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02"/>
    <w:next w:val="702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character" w:styleId="768" w:customStyle="1">
    <w:name w:val="Header Char"/>
    <w:basedOn w:val="712"/>
    <w:uiPriority w:val="99"/>
  </w:style>
  <w:style w:type="character" w:styleId="769" w:customStyle="1">
    <w:name w:val="Footer Char"/>
    <w:basedOn w:val="712"/>
    <w:uiPriority w:val="99"/>
  </w:style>
  <w:style w:type="paragraph" w:styleId="770">
    <w:name w:val="Caption"/>
    <w:basedOn w:val="702"/>
    <w:next w:val="70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uiPriority w:val="99"/>
  </w:style>
  <w:style w:type="table" w:styleId="772">
    <w:name w:val="Table Grid"/>
    <w:basedOn w:val="71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3" w:customStyle="1">
    <w:name w:val="Table Grid Light"/>
    <w:basedOn w:val="71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4" w:customStyle="1">
    <w:name w:val="Таблица простая 11"/>
    <w:basedOn w:val="71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Таблица простая 21"/>
    <w:basedOn w:val="71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Таблица простая 31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Таблица простая 41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а простая 51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Таблица-сетка 1 светлая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а-сетка 2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Таблица-сетка 3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Таблица-сетка 41"/>
    <w:basedOn w:val="71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1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1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1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1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1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1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Таблица-сетка 5 темная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Таблица-сетка 6 цветная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Таблица-сетка 7 цветная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Grid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Grid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Grid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Список-таблица 1 светлая1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Список-таблица 2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Список-таблица 3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Список-таблица 4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Список-таблица 5 темная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Список-таблица 6 цветная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Список-таблица 7 цветная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st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st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st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ned - Accent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1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basedOn w:val="702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basedOn w:val="712"/>
    <w:uiPriority w:val="99"/>
    <w:unhideWhenUsed/>
    <w:rPr>
      <w:vertAlign w:val="superscript"/>
    </w:rPr>
  </w:style>
  <w:style w:type="paragraph" w:styleId="902">
    <w:name w:val="endnote text"/>
    <w:basedOn w:val="702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basedOn w:val="712"/>
    <w:uiPriority w:val="99"/>
    <w:semiHidden/>
    <w:unhideWhenUsed/>
    <w:rPr>
      <w:vertAlign w:val="superscript"/>
    </w:rPr>
  </w:style>
  <w:style w:type="paragraph" w:styleId="905">
    <w:name w:val="toc 1"/>
    <w:basedOn w:val="702"/>
    <w:next w:val="702"/>
    <w:uiPriority w:val="39"/>
    <w:unhideWhenUsed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906">
    <w:name w:val="toc 2"/>
    <w:basedOn w:val="702"/>
    <w:next w:val="702"/>
    <w:uiPriority w:val="39"/>
    <w:unhideWhenUsed/>
    <w:pPr>
      <w:ind w:left="220"/>
      <w:spacing w:before="120" w:after="0"/>
    </w:pPr>
    <w:rPr>
      <w:rFonts w:cstheme="minorHAnsi"/>
      <w:b/>
      <w:bCs/>
    </w:rPr>
  </w:style>
  <w:style w:type="paragraph" w:styleId="907">
    <w:name w:val="toc 3"/>
    <w:basedOn w:val="702"/>
    <w:next w:val="702"/>
    <w:uiPriority w:val="39"/>
    <w:unhideWhenUsed/>
    <w:pPr>
      <w:ind w:left="440"/>
      <w:spacing w:after="0"/>
    </w:pPr>
    <w:rPr>
      <w:rFonts w:cstheme="minorHAnsi"/>
      <w:sz w:val="20"/>
      <w:szCs w:val="20"/>
    </w:rPr>
  </w:style>
  <w:style w:type="paragraph" w:styleId="908">
    <w:name w:val="toc 4"/>
    <w:basedOn w:val="702"/>
    <w:next w:val="702"/>
    <w:uiPriority w:val="39"/>
    <w:unhideWhenUsed/>
    <w:pPr>
      <w:ind w:left="660"/>
      <w:spacing w:after="0"/>
    </w:pPr>
    <w:rPr>
      <w:rFonts w:cstheme="minorHAnsi"/>
      <w:sz w:val="20"/>
      <w:szCs w:val="20"/>
    </w:rPr>
  </w:style>
  <w:style w:type="paragraph" w:styleId="909">
    <w:name w:val="toc 5"/>
    <w:basedOn w:val="702"/>
    <w:next w:val="702"/>
    <w:uiPriority w:val="39"/>
    <w:unhideWhenUsed/>
    <w:pPr>
      <w:ind w:left="880"/>
      <w:spacing w:after="0"/>
    </w:pPr>
    <w:rPr>
      <w:rFonts w:cstheme="minorHAnsi"/>
      <w:sz w:val="20"/>
      <w:szCs w:val="20"/>
    </w:rPr>
  </w:style>
  <w:style w:type="paragraph" w:styleId="910">
    <w:name w:val="toc 6"/>
    <w:basedOn w:val="702"/>
    <w:next w:val="702"/>
    <w:uiPriority w:val="39"/>
    <w:unhideWhenUsed/>
    <w:pPr>
      <w:ind w:left="1100"/>
      <w:spacing w:after="0"/>
    </w:pPr>
    <w:rPr>
      <w:rFonts w:cstheme="minorHAnsi"/>
      <w:sz w:val="20"/>
      <w:szCs w:val="20"/>
    </w:rPr>
  </w:style>
  <w:style w:type="paragraph" w:styleId="911">
    <w:name w:val="toc 7"/>
    <w:basedOn w:val="702"/>
    <w:next w:val="702"/>
    <w:uiPriority w:val="39"/>
    <w:unhideWhenUsed/>
    <w:pPr>
      <w:ind w:left="1320"/>
      <w:spacing w:after="0"/>
    </w:pPr>
    <w:rPr>
      <w:rFonts w:cstheme="minorHAnsi"/>
      <w:sz w:val="20"/>
      <w:szCs w:val="20"/>
    </w:rPr>
  </w:style>
  <w:style w:type="paragraph" w:styleId="912">
    <w:name w:val="toc 8"/>
    <w:basedOn w:val="702"/>
    <w:next w:val="702"/>
    <w:uiPriority w:val="39"/>
    <w:unhideWhenUsed/>
    <w:pPr>
      <w:ind w:left="1540"/>
      <w:spacing w:after="0"/>
    </w:pPr>
    <w:rPr>
      <w:rFonts w:cstheme="minorHAnsi"/>
      <w:sz w:val="20"/>
      <w:szCs w:val="20"/>
    </w:rPr>
  </w:style>
  <w:style w:type="paragraph" w:styleId="913">
    <w:name w:val="toc 9"/>
    <w:basedOn w:val="702"/>
    <w:next w:val="702"/>
    <w:uiPriority w:val="39"/>
    <w:unhideWhenUsed/>
    <w:pPr>
      <w:ind w:left="1760"/>
      <w:spacing w:after="0"/>
    </w:pPr>
    <w:rPr>
      <w:rFonts w:cstheme="minorHAnsi"/>
      <w:sz w:val="20"/>
      <w:szCs w:val="20"/>
    </w:rPr>
  </w:style>
  <w:style w:type="paragraph" w:styleId="914">
    <w:name w:val="TOC Heading"/>
    <w:uiPriority w:val="39"/>
    <w:unhideWhenUsed/>
    <w:qFormat/>
  </w:style>
  <w:style w:type="paragraph" w:styleId="915">
    <w:name w:val="table of figures"/>
    <w:basedOn w:val="702"/>
    <w:next w:val="702"/>
    <w:uiPriority w:val="99"/>
    <w:unhideWhenUsed/>
    <w:pPr>
      <w:spacing w:after="0"/>
    </w:pPr>
  </w:style>
  <w:style w:type="paragraph" w:styleId="916">
    <w:name w:val="Balloon Text"/>
    <w:basedOn w:val="702"/>
    <w:link w:val="9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7" w:customStyle="1">
    <w:name w:val="Текст выноски Знак"/>
    <w:basedOn w:val="712"/>
    <w:link w:val="916"/>
    <w:uiPriority w:val="99"/>
    <w:semiHidden/>
    <w:rPr>
      <w:rFonts w:ascii="Tahoma" w:hAnsi="Tahoma" w:cs="Tahoma"/>
      <w:sz w:val="16"/>
      <w:szCs w:val="16"/>
    </w:rPr>
  </w:style>
  <w:style w:type="paragraph" w:styleId="918">
    <w:name w:val="Normal (Web)"/>
    <w:basedOn w:val="70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9">
    <w:name w:val="Header"/>
    <w:basedOn w:val="702"/>
    <w:link w:val="9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712"/>
    <w:link w:val="919"/>
    <w:uiPriority w:val="99"/>
  </w:style>
  <w:style w:type="paragraph" w:styleId="921">
    <w:name w:val="Footer"/>
    <w:basedOn w:val="702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712"/>
    <w:link w:val="921"/>
    <w:uiPriority w:val="99"/>
  </w:style>
  <w:style w:type="character" w:styleId="923" w:customStyle="1">
    <w:name w:val="bx-messenger-ajax"/>
    <w:basedOn w:val="712"/>
  </w:style>
  <w:style w:type="character" w:styleId="924" w:customStyle="1">
    <w:name w:val="Основной текст (2)_"/>
    <w:basedOn w:val="712"/>
    <w:link w:val="925"/>
    <w:rPr>
      <w:rFonts w:ascii="Microsoft Sans Serif" w:hAnsi="Microsoft Sans Serif" w:cs="Microsoft Sans Serif" w:eastAsia="Microsoft Sans Serif"/>
      <w:shd w:val="clear" w:color="auto" w:fill="ffffff"/>
    </w:rPr>
  </w:style>
  <w:style w:type="paragraph" w:styleId="925" w:customStyle="1">
    <w:name w:val="Основной текст (2)"/>
    <w:basedOn w:val="702"/>
    <w:link w:val="924"/>
    <w:pPr>
      <w:ind w:hanging="280"/>
      <w:spacing w:before="180" w:after="360" w:line="307" w:lineRule="exact"/>
      <w:shd w:val="clear" w:color="auto" w:fill="ffffff"/>
      <w:widowControl w:val="off"/>
    </w:pPr>
    <w:rPr>
      <w:rFonts w:ascii="Microsoft Sans Serif" w:hAnsi="Microsoft Sans Serif" w:cs="Microsoft Sans Serif" w:eastAsia="Microsoft Sans Serif"/>
    </w:rPr>
  </w:style>
  <w:style w:type="paragraph" w:styleId="926" w:customStyle="1">
    <w:name w:val="docdata"/>
    <w:basedOn w:val="70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27" w:customStyle="1">
    <w:name w:val="1602"/>
    <w:basedOn w:val="712"/>
  </w:style>
  <w:style w:type="paragraph" w:styleId="928">
    <w:name w:val="Revision"/>
    <w:hidden/>
    <w:uiPriority w:val="99"/>
    <w:semiHidden/>
    <w:pPr>
      <w:spacing w:after="0" w:line="240" w:lineRule="auto"/>
    </w:pPr>
  </w:style>
  <w:style w:type="character" w:styleId="929">
    <w:name w:val="Intense Reference"/>
    <w:basedOn w:val="712"/>
    <w:uiPriority w:val="32"/>
    <w:qFormat/>
    <w:rPr>
      <w:b/>
      <w:bCs/>
      <w:smallCaps/>
      <w:color w:val="4F81BD" w:themeColor="accent1"/>
      <w:spacing w:val="5"/>
    </w:rPr>
  </w:style>
  <w:style w:type="character" w:styleId="930">
    <w:name w:val="Intense Emphasis"/>
    <w:basedOn w:val="712"/>
    <w:uiPriority w:val="21"/>
    <w:qFormat/>
    <w:rPr>
      <w:i/>
      <w:iCs/>
      <w:color w:val="4F81BD" w:themeColor="accent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57BAB40F-5F9E-7145-96F4-CD3DF378A6E8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Grizli777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Габова Мария Владимировна</dc:creator>
  <cp:lastModifiedBy>Дектерева Елена Игоревна</cp:lastModifiedBy>
  <cp:revision>3</cp:revision>
  <dcterms:created xsi:type="dcterms:W3CDTF">2023-07-05T11:20:00Z</dcterms:created>
  <dcterms:modified xsi:type="dcterms:W3CDTF">2023-07-14T11:35:15Z</dcterms:modified>
</cp:coreProperties>
</file>